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62711B" w:rsidRDefault="00F65AB0" w:rsidP="000A0274">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25391AE7" w:rsidR="001A53D6" w:rsidRPr="0062711B" w:rsidRDefault="00134A21"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JCRTO-2860</w:t>
            </w:r>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0061A3AE" w:rsidR="003069E0" w:rsidRPr="0062711B" w:rsidRDefault="00CC14D4"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r w:rsidR="00134A21">
              <w:rPr>
                <w:rFonts w:ascii="Times New Roman" w:hAnsi="Times New Roman" w:cs="Times New Roman"/>
                <w:b/>
                <w:bCs/>
                <w:color w:val="000000" w:themeColor="text1"/>
                <w:lang w:val="en-GB"/>
              </w:rPr>
              <w:t xml:space="preserve">                  </w:t>
            </w:r>
            <w:r w:rsidR="00134A21" w:rsidRPr="00134A21">
              <w:rPr>
                <w:rFonts w:ascii="Times New Roman" w:hAnsi="Times New Roman" w:cs="Times New Roman"/>
                <w:b/>
                <w:bCs/>
                <w:color w:val="000000" w:themeColor="text1"/>
                <w:lang w:val="en-GB"/>
              </w:rPr>
              <w:t>Ran Li</w:t>
            </w:r>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774812EC" w:rsidR="008B4488" w:rsidRPr="0062711B" w:rsidRDefault="00971E6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Accept: 1</w:t>
            </w:r>
            <w:r w:rsidR="005A7ACE" w:rsidRPr="0062711B">
              <w:rPr>
                <w:rFonts w:ascii="Times New Roman" w:hAnsi="Times New Roman" w:cs="Times New Roman"/>
                <w:color w:val="000000" w:themeColor="text1"/>
              </w:rPr>
              <w:t xml:space="preserve"> </w:t>
            </w:r>
          </w:p>
        </w:tc>
        <w:tc>
          <w:tcPr>
            <w:tcW w:w="3600" w:type="dxa"/>
          </w:tcPr>
          <w:p w14:paraId="2A4179DF" w14:textId="13839FE4" w:rsidR="008B4488" w:rsidRPr="0062711B" w:rsidRDefault="00AF6633" w:rsidP="00D92282">
            <w:pPr>
              <w:pStyle w:val="ListParagraph"/>
              <w:numPr>
                <w:ilvl w:val="0"/>
                <w:numId w:val="27"/>
              </w:num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Minor Revision: 2</w:t>
            </w:r>
          </w:p>
        </w:tc>
        <w:tc>
          <w:tcPr>
            <w:tcW w:w="3510" w:type="dxa"/>
          </w:tcPr>
          <w:p w14:paraId="2CED1669" w14:textId="236EB20A" w:rsidR="008B4488" w:rsidRPr="0062711B" w:rsidRDefault="00AF6633" w:rsidP="00D92282">
            <w:pPr>
              <w:pStyle w:val="ListParagraph"/>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Major Revision: 3</w:t>
            </w:r>
          </w:p>
        </w:tc>
      </w:tr>
      <w:tr w:rsidR="00563B90" w:rsidRPr="0062711B" w14:paraId="12B3DCF4" w14:textId="77777777" w:rsidTr="003B2769">
        <w:trPr>
          <w:trHeight w:val="440"/>
        </w:trPr>
        <w:tc>
          <w:tcPr>
            <w:tcW w:w="3062" w:type="dxa"/>
          </w:tcPr>
          <w:p w14:paraId="6B5944C0" w14:textId="2C73A727" w:rsidR="00AF6633" w:rsidRPr="0062711B" w:rsidRDefault="00FA0A35"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Reject: 4</w:t>
            </w:r>
          </w:p>
        </w:tc>
        <w:tc>
          <w:tcPr>
            <w:tcW w:w="3600" w:type="dxa"/>
          </w:tcPr>
          <w:p w14:paraId="5AAF7CF3" w14:textId="01FA8B17" w:rsidR="00AF6633" w:rsidRPr="0062711B" w:rsidRDefault="00962010"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Re-revision: 5</w:t>
            </w:r>
          </w:p>
        </w:tc>
        <w:tc>
          <w:tcPr>
            <w:tcW w:w="3510" w:type="dxa"/>
          </w:tcPr>
          <w:p w14:paraId="19595238" w14:textId="7526B597" w:rsidR="00AF6633" w:rsidRPr="0062711B" w:rsidRDefault="009E142B"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962010"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Poor Quality: 6</w:t>
            </w:r>
          </w:p>
        </w:tc>
      </w:tr>
      <w:tr w:rsidR="00563B90" w:rsidRPr="0062711B" w14:paraId="1EE1E661" w14:textId="77777777" w:rsidTr="00DE24E6">
        <w:trPr>
          <w:trHeight w:val="2240"/>
        </w:trPr>
        <w:tc>
          <w:tcPr>
            <w:tcW w:w="10172" w:type="dxa"/>
            <w:gridSpan w:val="3"/>
          </w:tcPr>
          <w:p w14:paraId="645D8A7D" w14:textId="4C538917" w:rsidR="00CC14D4"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134A21" w:rsidRPr="00134A21">
              <w:rPr>
                <w:rFonts w:ascii="Times New Roman" w:eastAsia="Times New Roman" w:hAnsi="Times New Roman" w:cs="Times New Roman"/>
                <w:b/>
                <w:bCs/>
                <w:color w:val="000000" w:themeColor="text1"/>
                <w:shd w:val="clear" w:color="auto" w:fill="FFFFFF"/>
                <w:lang w:val="en-IN" w:eastAsia="en-IN"/>
              </w:rPr>
              <w:t>Efficacy and safety of pyrotinib for patients with HER2-</w:t>
            </w:r>
            <w:r w:rsidR="00134A21">
              <w:rPr>
                <w:rFonts w:ascii="Times New Roman" w:eastAsia="Times New Roman" w:hAnsi="Times New Roman" w:cs="Times New Roman"/>
                <w:b/>
                <w:bCs/>
                <w:color w:val="000000" w:themeColor="text1"/>
                <w:shd w:val="clear" w:color="auto" w:fill="FFFFFF"/>
                <w:lang w:val="en-IN" w:eastAsia="en-IN"/>
              </w:rPr>
              <w:t>positive advanced breast cancer</w:t>
            </w:r>
            <w:bookmarkStart w:id="0" w:name="_GoBack"/>
            <w:bookmarkEnd w:id="0"/>
            <w:r w:rsidR="00134A21" w:rsidRPr="00134A21">
              <w:rPr>
                <w:rFonts w:ascii="Times New Roman" w:eastAsia="Times New Roman" w:hAnsi="Times New Roman" w:cs="Times New Roman"/>
                <w:b/>
                <w:bCs/>
                <w:color w:val="000000" w:themeColor="text1"/>
                <w:shd w:val="clear" w:color="auto" w:fill="FFFFFF"/>
                <w:lang w:val="en-IN" w:eastAsia="en-IN"/>
              </w:rPr>
              <w:t>: a retrospective multicenter real-world study</w:t>
            </w:r>
          </w:p>
          <w:p w14:paraId="15C217CB" w14:textId="6BC569F2" w:rsidR="00A55C79" w:rsidRDefault="00140858" w:rsidP="000A0274">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B15318" w:rsidRPr="0062711B">
              <w:rPr>
                <w:rFonts w:ascii="Times New Roman" w:eastAsia="Times New Roman" w:hAnsi="Times New Roman" w:cs="Times New Roman"/>
                <w:bCs/>
                <w:color w:val="000000" w:themeColor="text1"/>
                <w:shd w:val="clear" w:color="auto" w:fill="FFFFFF"/>
                <w:lang w:val="en-IN" w:eastAsia="en-IN"/>
              </w:rPr>
              <w:t xml:space="preserve">- </w:t>
            </w:r>
            <w:r w:rsidR="00A55C79" w:rsidRPr="00A55C79">
              <w:rPr>
                <w:rFonts w:ascii="Times New Roman" w:hAnsi="Times New Roman" w:cs="Times New Roman"/>
              </w:rPr>
              <w:t xml:space="preserve">The </w:t>
            </w:r>
            <w:r w:rsidR="00A55C79">
              <w:rPr>
                <w:rFonts w:ascii="Times New Roman" w:hAnsi="Times New Roman" w:cs="Times New Roman"/>
              </w:rPr>
              <w:t xml:space="preserve">article </w:t>
            </w:r>
            <w:r w:rsidR="00A55C79" w:rsidRPr="00A55C79">
              <w:rPr>
                <w:rFonts w:ascii="Times New Roman" w:hAnsi="Times New Roman" w:cs="Times New Roman"/>
              </w:rPr>
              <w:t>presents a retrospective study that aimed to evaluate the efficacy and safety of pyrotinib in HER2-positive advanced breast cancer patients in a real-world setting. The study analyzed clinical data and observed various outcome measures, including progression-free survival (PFS), overall survival (OS), objective response rate (ORR), disease control rate (DCR), clinical benefit rate (CBR), and adverse events.</w:t>
            </w:r>
          </w:p>
          <w:p w14:paraId="002ECCEF" w14:textId="43875408" w:rsidR="00362A5F" w:rsidRDefault="00D11028" w:rsidP="009A0388">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362A5F">
              <w:rPr>
                <w:rFonts w:ascii="Times New Roman" w:hAnsi="Times New Roman" w:cs="Times New Roman"/>
              </w:rPr>
              <w:t>The article</w:t>
            </w:r>
            <w:r w:rsidR="00362A5F" w:rsidRPr="00362A5F">
              <w:rPr>
                <w:rFonts w:ascii="Times New Roman" w:hAnsi="Times New Roman" w:cs="Times New Roman"/>
              </w:rPr>
              <w:t xml:space="preserve"> highlights the significance of pyrotinib treatment in HER2-positive advanced breast cancer and introduces the study's objectives to evaluate its clinical efficacy, safety, and predictors of survival. </w:t>
            </w:r>
          </w:p>
          <w:p w14:paraId="7B3E5324" w14:textId="77777777" w:rsidR="006A2D6F" w:rsidRDefault="00EB1FF1" w:rsidP="000A0274">
            <w:pPr>
              <w:spacing w:line="360" w:lineRule="auto"/>
              <w:jc w:val="both"/>
              <w:rPr>
                <w:rFonts w:ascii="Times New Roman" w:hAnsi="Times New Roman" w:cs="Times New Roman"/>
              </w:rPr>
            </w:pPr>
            <w:r w:rsidRPr="0062711B">
              <w:rPr>
                <w:rFonts w:ascii="Times New Roman" w:hAnsi="Times New Roman" w:cs="Times New Roman"/>
              </w:rPr>
              <w:t>Methods: -</w:t>
            </w:r>
            <w:r w:rsidR="00E37DC4" w:rsidRPr="0062711B">
              <w:rPr>
                <w:rFonts w:ascii="Times New Roman" w:hAnsi="Times New Roman" w:cs="Times New Roman"/>
              </w:rPr>
              <w:t xml:space="preserve"> </w:t>
            </w:r>
            <w:r w:rsidR="006A2D6F" w:rsidRPr="006A2D6F">
              <w:rPr>
                <w:rFonts w:ascii="Times New Roman" w:hAnsi="Times New Roman" w:cs="Times New Roman"/>
              </w:rPr>
              <w:t>It would be useful to discuss the limitations of the study, such as potential selection bias, retrospective design limitations, and any other factors that may impact the generalizability or interpretation of the results.</w:t>
            </w:r>
          </w:p>
          <w:p w14:paraId="412A42EE" w14:textId="36DA7B07" w:rsidR="00132882" w:rsidRDefault="00E37DC4" w:rsidP="000A0274">
            <w:pPr>
              <w:spacing w:line="360" w:lineRule="auto"/>
              <w:jc w:val="both"/>
              <w:rPr>
                <w:rFonts w:ascii="Times New Roman" w:hAnsi="Times New Roman" w:cs="Times New Roman"/>
              </w:rPr>
            </w:pPr>
            <w:r w:rsidRPr="0062711B">
              <w:rPr>
                <w:rFonts w:ascii="Times New Roman" w:hAnsi="Times New Roman" w:cs="Times New Roman"/>
              </w:rPr>
              <w:t xml:space="preserve">Results: - </w:t>
            </w:r>
            <w:r w:rsidR="00760FE0">
              <w:rPr>
                <w:rFonts w:ascii="Times New Roman" w:hAnsi="Times New Roman" w:cs="Times New Roman"/>
              </w:rPr>
              <w:t>The article</w:t>
            </w:r>
            <w:r w:rsidR="00760FE0" w:rsidRPr="00760FE0">
              <w:rPr>
                <w:rFonts w:ascii="Times New Roman" w:hAnsi="Times New Roman" w:cs="Times New Roman"/>
              </w:rPr>
              <w:t xml:space="preserve"> describes the significant difference in OS between patients with liver metastases and those with non-liver metastases. However, it would be valuable to include additional survival analysis, such as Kaplan-Meier curves or survival rates, to support the reported findings.</w:t>
            </w:r>
          </w:p>
          <w:p w14:paraId="76AE9501" w14:textId="344F6CEA" w:rsidR="00760FE0" w:rsidRDefault="00760FE0" w:rsidP="000A0274">
            <w:pPr>
              <w:spacing w:line="360" w:lineRule="auto"/>
              <w:jc w:val="both"/>
              <w:rPr>
                <w:rFonts w:ascii="Times New Roman" w:hAnsi="Times New Roman" w:cs="Times New Roman"/>
              </w:rPr>
            </w:pPr>
            <w:r>
              <w:rPr>
                <w:rFonts w:ascii="Times New Roman" w:hAnsi="Times New Roman" w:cs="Times New Roman"/>
              </w:rPr>
              <w:t xml:space="preserve">Discussions: - </w:t>
            </w:r>
            <w:r w:rsidR="00134A21">
              <w:rPr>
                <w:rFonts w:ascii="Times New Roman" w:hAnsi="Times New Roman" w:cs="Times New Roman"/>
              </w:rPr>
              <w:t>The study</w:t>
            </w:r>
            <w:r w:rsidRPr="00760FE0">
              <w:rPr>
                <w:rFonts w:ascii="Times New Roman" w:hAnsi="Times New Roman" w:cs="Times New Roman"/>
              </w:rPr>
              <w:t xml:space="preserve"> presents important findings but lacks a discussion on the clinical implications of the results. Including a discussion section that interprets the findings, highlights their significance in the context of existing literature, and discusses potential implications for clinical practice would strengthen the overall report.</w:t>
            </w:r>
          </w:p>
          <w:p w14:paraId="7738BAEB" w14:textId="77777777" w:rsidR="00760FE0" w:rsidRDefault="00760FE0" w:rsidP="000A0274">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9095CC4"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The article can be publ</w:t>
            </w:r>
            <w:r w:rsidR="00D92282" w:rsidRPr="0062711B">
              <w:rPr>
                <w:rFonts w:ascii="Times New Roman" w:eastAsia="Times New Roman" w:hAnsi="Times New Roman" w:cs="Times New Roman"/>
                <w:bCs/>
                <w:color w:val="000000" w:themeColor="text1"/>
                <w:shd w:val="clear" w:color="auto" w:fill="FFFFFF"/>
                <w:lang w:val="en-IN" w:eastAsia="en-IN"/>
              </w:rPr>
              <w:t>ished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0A0274">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D1BB1" w14:textId="77777777" w:rsidR="00C517D8" w:rsidRDefault="00C517D8" w:rsidP="00F65AB0">
      <w:pPr>
        <w:spacing w:after="0" w:line="240" w:lineRule="auto"/>
      </w:pPr>
      <w:r>
        <w:separator/>
      </w:r>
    </w:p>
  </w:endnote>
  <w:endnote w:type="continuationSeparator" w:id="0">
    <w:p w14:paraId="65D96074" w14:textId="77777777" w:rsidR="00C517D8" w:rsidRDefault="00C517D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92E01" w14:textId="77777777" w:rsidR="00C517D8" w:rsidRDefault="00C517D8" w:rsidP="00F65AB0">
      <w:pPr>
        <w:spacing w:after="0" w:line="240" w:lineRule="auto"/>
      </w:pPr>
      <w:r>
        <w:separator/>
      </w:r>
    </w:p>
  </w:footnote>
  <w:footnote w:type="continuationSeparator" w:id="0">
    <w:p w14:paraId="1A261502" w14:textId="77777777" w:rsidR="00C517D8" w:rsidRDefault="00C517D8"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4"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6"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0" w15:restartNumberingAfterBreak="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1" w15:restartNumberingAfterBreak="0">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3"/>
  </w:num>
  <w:num w:numId="5">
    <w:abstractNumId w:val="16"/>
  </w:num>
  <w:num w:numId="6">
    <w:abstractNumId w:val="11"/>
  </w:num>
  <w:num w:numId="7">
    <w:abstractNumId w:val="2"/>
  </w:num>
  <w:num w:numId="8">
    <w:abstractNumId w:val="22"/>
  </w:num>
  <w:num w:numId="9">
    <w:abstractNumId w:val="25"/>
  </w:num>
  <w:num w:numId="10">
    <w:abstractNumId w:val="14"/>
  </w:num>
  <w:num w:numId="11">
    <w:abstractNumId w:val="7"/>
  </w:num>
  <w:num w:numId="12">
    <w:abstractNumId w:val="1"/>
  </w:num>
  <w:num w:numId="13">
    <w:abstractNumId w:val="23"/>
  </w:num>
  <w:num w:numId="14">
    <w:abstractNumId w:val="17"/>
  </w:num>
  <w:num w:numId="15">
    <w:abstractNumId w:val="8"/>
  </w:num>
  <w:num w:numId="16">
    <w:abstractNumId w:val="19"/>
  </w:num>
  <w:num w:numId="17">
    <w:abstractNumId w:val="26"/>
  </w:num>
  <w:num w:numId="18">
    <w:abstractNumId w:val="6"/>
  </w:num>
  <w:num w:numId="19">
    <w:abstractNumId w:val="0"/>
  </w:num>
  <w:num w:numId="20">
    <w:abstractNumId w:val="24"/>
  </w:num>
  <w:num w:numId="21">
    <w:abstractNumId w:val="21"/>
  </w:num>
  <w:num w:numId="22">
    <w:abstractNumId w:val="5"/>
  </w:num>
  <w:num w:numId="23">
    <w:abstractNumId w:val="18"/>
  </w:num>
  <w:num w:numId="24">
    <w:abstractNumId w:val="4"/>
  </w:num>
  <w:num w:numId="25">
    <w:abstractNumId w:val="20"/>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F5630"/>
    <w:rsid w:val="000F5CED"/>
    <w:rsid w:val="00105156"/>
    <w:rsid w:val="00105782"/>
    <w:rsid w:val="00106900"/>
    <w:rsid w:val="00107020"/>
    <w:rsid w:val="00117F57"/>
    <w:rsid w:val="001231C7"/>
    <w:rsid w:val="00123835"/>
    <w:rsid w:val="00125358"/>
    <w:rsid w:val="00127F1D"/>
    <w:rsid w:val="00130ED4"/>
    <w:rsid w:val="00131DB1"/>
    <w:rsid w:val="00132882"/>
    <w:rsid w:val="00134A2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2A5F"/>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41972"/>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2D6F"/>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0FE0"/>
    <w:rsid w:val="007628E9"/>
    <w:rsid w:val="00764BBE"/>
    <w:rsid w:val="0076574F"/>
    <w:rsid w:val="00766F94"/>
    <w:rsid w:val="00767BB4"/>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142B"/>
    <w:rsid w:val="009E66B8"/>
    <w:rsid w:val="009F0723"/>
    <w:rsid w:val="009F18B7"/>
    <w:rsid w:val="009F2DF4"/>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55C79"/>
    <w:rsid w:val="00A62DB3"/>
    <w:rsid w:val="00A65E83"/>
    <w:rsid w:val="00A6677E"/>
    <w:rsid w:val="00A67F25"/>
    <w:rsid w:val="00A67FDE"/>
    <w:rsid w:val="00A70287"/>
    <w:rsid w:val="00A72504"/>
    <w:rsid w:val="00A74AF7"/>
    <w:rsid w:val="00A77614"/>
    <w:rsid w:val="00A807A5"/>
    <w:rsid w:val="00A843C5"/>
    <w:rsid w:val="00A847F1"/>
    <w:rsid w:val="00A94D5D"/>
    <w:rsid w:val="00A960E7"/>
    <w:rsid w:val="00A96C6A"/>
    <w:rsid w:val="00AA1FC0"/>
    <w:rsid w:val="00AA7693"/>
    <w:rsid w:val="00AB3D17"/>
    <w:rsid w:val="00AB707D"/>
    <w:rsid w:val="00AC374C"/>
    <w:rsid w:val="00AC46E7"/>
    <w:rsid w:val="00AC6BD7"/>
    <w:rsid w:val="00AC7AE5"/>
    <w:rsid w:val="00AD3141"/>
    <w:rsid w:val="00AE5C6A"/>
    <w:rsid w:val="00AE6023"/>
    <w:rsid w:val="00AF316D"/>
    <w:rsid w:val="00AF6633"/>
    <w:rsid w:val="00AF7983"/>
    <w:rsid w:val="00B11CA0"/>
    <w:rsid w:val="00B146FD"/>
    <w:rsid w:val="00B15318"/>
    <w:rsid w:val="00B21C94"/>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7D8"/>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53D9"/>
    <w:rsid w:val="00CB75F8"/>
    <w:rsid w:val="00CC0027"/>
    <w:rsid w:val="00CC14D4"/>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65C7"/>
    <w:rsid w:val="00D370CF"/>
    <w:rsid w:val="00D411DC"/>
    <w:rsid w:val="00D41341"/>
    <w:rsid w:val="00D415D5"/>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1583"/>
    <w:rsid w:val="00DE24E6"/>
    <w:rsid w:val="00DF4FE7"/>
    <w:rsid w:val="00DF5992"/>
    <w:rsid w:val="00E067B5"/>
    <w:rsid w:val="00E1003F"/>
    <w:rsid w:val="00E26DFF"/>
    <w:rsid w:val="00E33FF0"/>
    <w:rsid w:val="00E37DC4"/>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627036">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2023-06-22T11:10:00Z</dcterms:created>
  <dcterms:modified xsi:type="dcterms:W3CDTF">2023-06-22T11:10:00Z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